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Письмо Минтруда России № 18-2/10/В-877 от 9 февраля 2018 г.</w:t>
      </w:r>
    </w:p>
    <w:p>
      <w:pPr>
        <w:pStyle w:val="Heading2"/>
        <w:rPr/>
      </w:pPr>
      <w:r>
        <w:rPr/>
        <w:t>Федеральные государственные органы</w:t>
        <w:br/>
        <w:t>Высшие органы исполнительной власти субъектов Российской Федерации</w:t>
        <w:br/>
        <w:t>Организации</w:t>
        <w:br/>
        <w:t xml:space="preserve">Центральный банк Российской Федерации </w:t>
      </w:r>
    </w:p>
    <w:p>
      <w:pPr>
        <w:pStyle w:val="TextBody"/>
        <w:rPr/>
      </w:pPr>
      <w:r>
        <w:rPr/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 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</w:p>
    <w:p>
      <w:pPr>
        <w:pStyle w:val="TextBody"/>
        <w:rPr/>
      </w:pPr>
      <w:r>
        <w:rPr/>
        <w:t xml:space="preserve">Определение понятия «иностранные финансовые инструменты» предусмотрено частью 2 статьи 1 Федерального закона № 79-ФЗ. </w:t>
      </w:r>
    </w:p>
    <w:p>
      <w:pPr>
        <w:pStyle w:val="TextBody"/>
        <w:rPr/>
      </w:pPr>
      <w:r>
        <w:rPr/>
        <w:t xml:space="preserve"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 за счет иных средств страховщиков. </w:t>
      </w:r>
    </w:p>
    <w:p>
      <w:pPr>
        <w:pStyle w:val="TextBody"/>
        <w:rPr/>
      </w:pPr>
      <w:r>
        <w:rPr/>
        <w:t xml:space="preserve"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 </w:t>
      </w:r>
    </w:p>
    <w:p>
      <w:pPr>
        <w:pStyle w:val="TextBody"/>
        <w:rPr/>
      </w:pPr>
      <w:r>
        <w:rPr/>
        <w:t xml:space="preserve"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>
      <w:pPr>
        <w:pStyle w:val="TextBody"/>
        <w:rPr/>
      </w:pPr>
      <w:r>
        <w:rPr/>
        <w:t xml:space="preserve"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 </w:t>
      </w:r>
    </w:p>
    <w:p>
      <w:pPr>
        <w:pStyle w:val="TextBody"/>
        <w:rPr/>
      </w:pPr>
      <w:r>
        <w:rPr/>
        <w:t xml:space="preserve"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 </w:t>
      </w:r>
    </w:p>
    <w:p>
      <w:pPr>
        <w:pStyle w:val="TextBody"/>
        <w:rPr/>
      </w:pPr>
      <w:r>
        <w:rPr/>
        <w:t xml:space="preserve">Одновременно стоит отметить,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 </w:t>
      </w:r>
    </w:p>
    <w:p>
      <w:pPr>
        <w:pStyle w:val="TextBody"/>
        <w:rPr/>
      </w:pPr>
      <w:r>
        <w:rPr/>
        <w:t xml:space="preserve"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 </w:t>
      </w:r>
    </w:p>
    <w:p>
      <w:pPr>
        <w:pStyle w:val="TextBody"/>
        <w:rPr/>
      </w:pPr>
      <w:r>
        <w:rPr/>
        <w:t xml:space="preserve"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>
      <w:pPr>
        <w:pStyle w:val="TextBody"/>
        <w:rPr/>
      </w:pPr>
      <w:r>
        <w:rPr/>
        <w:t xml:space="preserve"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 </w:t>
      </w:r>
    </w:p>
    <w:p>
      <w:pPr>
        <w:pStyle w:val="TextBody"/>
        <w:rPr/>
      </w:pPr>
      <w:r>
        <w:rPr/>
        <w:t xml:space="preserve"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статьи 2 Федерального закона № 79-ФЗ, не приводит к нарушению запрета владеть и (или) пользоваться иностранными финансовыми инструментами. </w:t>
      </w:r>
    </w:p>
    <w:p>
      <w:pPr>
        <w:pStyle w:val="TextBody"/>
        <w:rPr/>
      </w:pPr>
      <w:r>
        <w:rPr/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 </w:t>
      </w:r>
    </w:p>
    <w:p>
      <w:pPr>
        <w:pStyle w:val="TextBody"/>
        <w:rPr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>
      <w:pPr>
        <w:pStyle w:val="TextBody"/>
        <w:spacing w:before="0" w:after="283"/>
        <w:rPr/>
      </w:pPr>
      <w:r>
        <w:rPr>
          <w:rStyle w:val="StrongEmphasis"/>
        </w:rPr>
        <w:t xml:space="preserve">А.А. Черкасов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